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E917B" w14:textId="7C7E8840" w:rsidR="003E30EB" w:rsidRDefault="008F1719" w:rsidP="003E30EB">
      <w:pPr>
        <w:spacing w:line="240" w:lineRule="auto"/>
        <w:rPr>
          <w:b/>
        </w:rPr>
      </w:pPr>
      <w:r w:rsidRPr="008F1719">
        <w:rPr>
          <w:b/>
        </w:rPr>
        <w:t xml:space="preserve">Reflecting on Imtiaz Habib's </w:t>
      </w:r>
      <w:r w:rsidRPr="008F1719">
        <w:rPr>
          <w:b/>
          <w:i/>
          <w:iCs/>
        </w:rPr>
        <w:t>Black Lives in the English Archives</w:t>
      </w:r>
      <w:r w:rsidRPr="008F1719">
        <w:rPr>
          <w:b/>
        </w:rPr>
        <w:t>: A Bibliography</w:t>
      </w:r>
    </w:p>
    <w:p w14:paraId="32830A17" w14:textId="77777777" w:rsidR="003E30EB" w:rsidRPr="003E30EB" w:rsidRDefault="003E30EB" w:rsidP="003E30EB">
      <w:pPr>
        <w:spacing w:line="240" w:lineRule="auto"/>
        <w:rPr>
          <w:b/>
        </w:rPr>
      </w:pPr>
    </w:p>
    <w:p w14:paraId="23D4FDE6" w14:textId="6D081F1C" w:rsidR="003E30EB" w:rsidRPr="003E30EB" w:rsidRDefault="003E30EB" w:rsidP="003E30EB">
      <w:pPr>
        <w:spacing w:line="240" w:lineRule="auto"/>
        <w:jc w:val="both"/>
        <w:rPr>
          <w:i/>
          <w:iCs/>
        </w:rPr>
      </w:pPr>
      <w:r w:rsidRPr="003E30EB">
        <w:rPr>
          <w:i/>
          <w:iCs/>
        </w:rPr>
        <w:t xml:space="preserve">Rebecca </w:t>
      </w:r>
      <w:proofErr w:type="spellStart"/>
      <w:r w:rsidRPr="003E30EB">
        <w:rPr>
          <w:i/>
          <w:iCs/>
        </w:rPr>
        <w:t>Adusei</w:t>
      </w:r>
      <w:proofErr w:type="spellEnd"/>
      <w:r w:rsidRPr="003E30EB">
        <w:rPr>
          <w:i/>
          <w:iCs/>
        </w:rPr>
        <w:t xml:space="preserve"> and Jamie Gemmell</w:t>
      </w:r>
    </w:p>
    <w:p w14:paraId="1F9088D7" w14:textId="77777777" w:rsidR="003E30EB" w:rsidRDefault="003E30EB" w:rsidP="003E30EB">
      <w:pPr>
        <w:spacing w:line="240" w:lineRule="auto"/>
        <w:jc w:val="both"/>
      </w:pPr>
    </w:p>
    <w:p w14:paraId="192FEABC" w14:textId="3D1D13E2" w:rsidR="003E30EB" w:rsidRDefault="003E30EB" w:rsidP="003E30EB">
      <w:pPr>
        <w:spacing w:line="240" w:lineRule="auto"/>
        <w:jc w:val="both"/>
      </w:pPr>
      <w:r w:rsidRPr="003E30EB">
        <w:t xml:space="preserve">Imtiaz Habib’s </w:t>
      </w:r>
      <w:r w:rsidRPr="003E30EB">
        <w:rPr>
          <w:i/>
        </w:rPr>
        <w:t>Black Lives in the English Archives</w:t>
      </w:r>
      <w:r w:rsidRPr="003E30EB">
        <w:t xml:space="preserve"> was situated within the longstanding and growing fields of early modern Black British History and Premodern Critical Race Studies (PCRS). To conclude our series, we provide a non-definitive bibliography of some key texts for readers interested in pursuing these subjects further.</w:t>
      </w:r>
    </w:p>
    <w:p w14:paraId="37679307" w14:textId="77777777" w:rsidR="003E30EB" w:rsidRPr="003E30EB" w:rsidRDefault="003E30EB" w:rsidP="003E30EB">
      <w:pPr>
        <w:spacing w:line="240" w:lineRule="auto"/>
        <w:jc w:val="both"/>
      </w:pPr>
    </w:p>
    <w:p w14:paraId="5E4CF9F9" w14:textId="22F63E82" w:rsidR="003E30EB" w:rsidRDefault="003E30EB" w:rsidP="003E30EB">
      <w:pPr>
        <w:spacing w:line="240" w:lineRule="auto"/>
        <w:jc w:val="both"/>
      </w:pPr>
      <w:r w:rsidRPr="003E30EB">
        <w:t>Adi, Hakim (ed.)</w:t>
      </w:r>
      <w:r>
        <w:t>.</w:t>
      </w:r>
      <w:r w:rsidRPr="003E30EB">
        <w:t xml:space="preserve"> </w:t>
      </w:r>
      <w:r w:rsidRPr="003E30EB">
        <w:rPr>
          <w:i/>
          <w:iCs/>
        </w:rPr>
        <w:t>Black British History: New Perspectives</w:t>
      </w:r>
      <w:r w:rsidRPr="003E30EB">
        <w:t>. London: Zed Books, 2019.</w:t>
      </w:r>
    </w:p>
    <w:p w14:paraId="35637FBB" w14:textId="77777777" w:rsidR="003E30EB" w:rsidRPr="003E30EB" w:rsidRDefault="003E30EB" w:rsidP="003E30EB">
      <w:pPr>
        <w:spacing w:line="240" w:lineRule="auto"/>
        <w:jc w:val="both"/>
      </w:pPr>
    </w:p>
    <w:p w14:paraId="4A1EB0D4" w14:textId="77777777" w:rsidR="003E30EB" w:rsidRDefault="003E30EB" w:rsidP="003E30EB">
      <w:pPr>
        <w:spacing w:line="240" w:lineRule="auto"/>
        <w:jc w:val="both"/>
      </w:pPr>
      <w:r w:rsidRPr="003E30EB">
        <w:t xml:space="preserve">Adi, Hakim. </w:t>
      </w:r>
      <w:r w:rsidRPr="003E30EB">
        <w:rPr>
          <w:i/>
        </w:rPr>
        <w:t>African and Caribbean People in Britain: A History</w:t>
      </w:r>
      <w:r w:rsidRPr="003E30EB">
        <w:t>. London: Penguin, 2022.</w:t>
      </w:r>
    </w:p>
    <w:p w14:paraId="2B3C2D3B" w14:textId="77777777" w:rsidR="003E30EB" w:rsidRPr="003E30EB" w:rsidRDefault="003E30EB" w:rsidP="003E30EB">
      <w:pPr>
        <w:spacing w:line="240" w:lineRule="auto"/>
        <w:jc w:val="both"/>
      </w:pPr>
    </w:p>
    <w:p w14:paraId="16729A06" w14:textId="3DFCECBC" w:rsidR="003E30EB" w:rsidRDefault="003E30EB" w:rsidP="003E30EB">
      <w:pPr>
        <w:spacing w:line="240" w:lineRule="auto"/>
        <w:jc w:val="both"/>
      </w:pPr>
      <w:proofErr w:type="spellStart"/>
      <w:r w:rsidRPr="003E30EB">
        <w:t>Akhimie</w:t>
      </w:r>
      <w:proofErr w:type="spellEnd"/>
      <w:r w:rsidRPr="003E30EB">
        <w:t xml:space="preserve">, Patricia. </w:t>
      </w:r>
      <w:r w:rsidRPr="003E30EB">
        <w:rPr>
          <w:i/>
          <w:iCs/>
        </w:rPr>
        <w:t>Shakespeare and the Cultivation of Difference</w:t>
      </w:r>
      <w:r w:rsidRPr="003E30EB">
        <w:t xml:space="preserve"> London and New York: Routledge, 2018</w:t>
      </w:r>
      <w:r>
        <w:t>.</w:t>
      </w:r>
    </w:p>
    <w:p w14:paraId="615FF381" w14:textId="77777777" w:rsidR="003E30EB" w:rsidRPr="003E30EB" w:rsidRDefault="003E30EB" w:rsidP="003E30EB">
      <w:pPr>
        <w:spacing w:line="240" w:lineRule="auto"/>
        <w:jc w:val="both"/>
      </w:pPr>
    </w:p>
    <w:p w14:paraId="458B85F6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t>Amussen</w:t>
      </w:r>
      <w:proofErr w:type="spellEnd"/>
      <w:r w:rsidRPr="003E30EB">
        <w:t xml:space="preserve">, Susan Dwyer. </w:t>
      </w:r>
      <w:r w:rsidRPr="003E30EB">
        <w:rPr>
          <w:i/>
          <w:iCs/>
        </w:rPr>
        <w:t>Caribbean Exchanges: Slavery and the Transformation of English Society, 1640-1700.</w:t>
      </w:r>
      <w:r w:rsidRPr="003E30EB">
        <w:t xml:space="preserve"> Chapel Hill, NC: University of North Carolina Press, 2009.</w:t>
      </w:r>
    </w:p>
    <w:p w14:paraId="56F00EF7" w14:textId="77777777" w:rsidR="003E30EB" w:rsidRPr="003E30EB" w:rsidRDefault="003E30EB" w:rsidP="003E30EB">
      <w:pPr>
        <w:spacing w:line="240" w:lineRule="auto"/>
        <w:jc w:val="both"/>
      </w:pPr>
    </w:p>
    <w:p w14:paraId="149F0789" w14:textId="77777777" w:rsidR="003E30EB" w:rsidRDefault="003E30EB" w:rsidP="003E30EB">
      <w:pPr>
        <w:spacing w:line="240" w:lineRule="auto"/>
        <w:jc w:val="both"/>
      </w:pPr>
      <w:r w:rsidRPr="003E30EB">
        <w:t xml:space="preserve">Chakravarty, Urvashi. </w:t>
      </w:r>
      <w:r w:rsidRPr="003E30EB">
        <w:rPr>
          <w:i/>
          <w:iCs/>
        </w:rPr>
        <w:t>Fictions of Consent: Slavery, Servitude, and Free Service in Early Modern England</w:t>
      </w:r>
      <w:r w:rsidRPr="003E30EB">
        <w:t>. Philadelphia, PA: University of Pennsylvania Press, 2022.</w:t>
      </w:r>
    </w:p>
    <w:p w14:paraId="50D3A5BD" w14:textId="77777777" w:rsidR="003E30EB" w:rsidRPr="003E30EB" w:rsidRDefault="003E30EB" w:rsidP="003E30EB">
      <w:pPr>
        <w:spacing w:line="240" w:lineRule="auto"/>
        <w:jc w:val="both"/>
      </w:pPr>
    </w:p>
    <w:p w14:paraId="33F0CC17" w14:textId="77777777" w:rsidR="003E30EB" w:rsidRDefault="003E30EB" w:rsidP="003E30EB">
      <w:pPr>
        <w:spacing w:line="240" w:lineRule="auto"/>
        <w:jc w:val="both"/>
      </w:pPr>
      <w:r w:rsidRPr="003E30EB">
        <w:t xml:space="preserve">Dabydeen, David. </w:t>
      </w:r>
      <w:r w:rsidRPr="003E30EB">
        <w:rPr>
          <w:i/>
        </w:rPr>
        <w:t>Hogarth's Blacks: Images of Blacks in Eighteenth Century English Art</w:t>
      </w:r>
      <w:r w:rsidRPr="003E30EB">
        <w:t>. Manchester: Manchester University Press, 1987.</w:t>
      </w:r>
    </w:p>
    <w:p w14:paraId="677AEA98" w14:textId="77777777" w:rsidR="003E30EB" w:rsidRPr="003E30EB" w:rsidRDefault="003E30EB" w:rsidP="003E30EB">
      <w:pPr>
        <w:spacing w:line="240" w:lineRule="auto"/>
        <w:jc w:val="both"/>
      </w:pPr>
    </w:p>
    <w:p w14:paraId="37D26679" w14:textId="77777777" w:rsidR="003E30EB" w:rsidRDefault="003E30EB" w:rsidP="003E30EB">
      <w:pPr>
        <w:spacing w:line="240" w:lineRule="auto"/>
        <w:jc w:val="both"/>
      </w:pPr>
      <w:r w:rsidRPr="003E30EB">
        <w:t xml:space="preserve">Dabydeen, David, Gilmore, John, and Jones, Cecily. </w:t>
      </w:r>
      <w:r w:rsidRPr="003E30EB">
        <w:rPr>
          <w:i/>
        </w:rPr>
        <w:t>The Oxford Companion to Black British History</w:t>
      </w:r>
      <w:r w:rsidRPr="003E30EB">
        <w:t>. Oxford: Oxford University Press 2007.</w:t>
      </w:r>
    </w:p>
    <w:p w14:paraId="56245CDE" w14:textId="77777777" w:rsidR="003E30EB" w:rsidRPr="003E30EB" w:rsidRDefault="003E30EB" w:rsidP="003E30EB">
      <w:pPr>
        <w:spacing w:line="240" w:lineRule="auto"/>
        <w:jc w:val="both"/>
      </w:pPr>
    </w:p>
    <w:p w14:paraId="1DB1FAD0" w14:textId="0EC1F8A6" w:rsidR="003E30EB" w:rsidRDefault="003E30EB" w:rsidP="003E30EB">
      <w:pPr>
        <w:spacing w:line="240" w:lineRule="auto"/>
        <w:jc w:val="both"/>
      </w:pPr>
      <w:r w:rsidRPr="003E30EB">
        <w:t>Erickson, Peter. ‘Representations of Blacks and Blackness in the Renaissance’</w:t>
      </w:r>
      <w:r>
        <w:t>,</w:t>
      </w:r>
      <w:r w:rsidRPr="003E30EB">
        <w:t xml:space="preserve"> </w:t>
      </w:r>
      <w:r w:rsidRPr="003E30EB">
        <w:rPr>
          <w:i/>
          <w:iCs/>
        </w:rPr>
        <w:t>Criticism</w:t>
      </w:r>
      <w:r w:rsidRPr="003E30EB">
        <w:t>, 35, 4 (1993), pp.499-528</w:t>
      </w:r>
    </w:p>
    <w:p w14:paraId="75814467" w14:textId="77777777" w:rsidR="003E30EB" w:rsidRPr="003E30EB" w:rsidRDefault="003E30EB" w:rsidP="003E30EB">
      <w:pPr>
        <w:spacing w:line="240" w:lineRule="auto"/>
        <w:jc w:val="both"/>
      </w:pPr>
    </w:p>
    <w:p w14:paraId="4FEFC2A5" w14:textId="5E832CFF" w:rsidR="003E30EB" w:rsidRDefault="003E30EB" w:rsidP="003E30EB">
      <w:pPr>
        <w:spacing w:line="240" w:lineRule="auto"/>
        <w:jc w:val="both"/>
      </w:pPr>
      <w:r w:rsidRPr="003E30EB">
        <w:t xml:space="preserve">Floyd-Wilson, Mary. </w:t>
      </w:r>
      <w:r w:rsidRPr="003E30EB">
        <w:rPr>
          <w:i/>
          <w:iCs/>
        </w:rPr>
        <w:t>English Ethnicity and Race in Early Modern Drama</w:t>
      </w:r>
      <w:r>
        <w:rPr>
          <w:i/>
          <w:iCs/>
        </w:rPr>
        <w:t>.</w:t>
      </w:r>
      <w:r>
        <w:t xml:space="preserve"> </w:t>
      </w:r>
      <w:r w:rsidRPr="003E30EB">
        <w:t>Cambridge: Cambridge University Press, 2003</w:t>
      </w:r>
      <w:r w:rsidR="00046759">
        <w:t>.</w:t>
      </w:r>
    </w:p>
    <w:p w14:paraId="17FEFB08" w14:textId="77777777" w:rsidR="003E30EB" w:rsidRPr="003E30EB" w:rsidRDefault="003E30EB" w:rsidP="003E30EB">
      <w:pPr>
        <w:spacing w:line="240" w:lineRule="auto"/>
        <w:jc w:val="both"/>
      </w:pPr>
    </w:p>
    <w:p w14:paraId="3C0B1FEA" w14:textId="77777777" w:rsidR="003E30EB" w:rsidRDefault="003E30EB" w:rsidP="003E30EB">
      <w:pPr>
        <w:spacing w:line="240" w:lineRule="auto"/>
        <w:jc w:val="both"/>
      </w:pPr>
      <w:r w:rsidRPr="003E30EB">
        <w:t xml:space="preserve">Fryer, Peter. </w:t>
      </w:r>
      <w:r w:rsidRPr="003E30EB">
        <w:rPr>
          <w:i/>
          <w:iCs/>
        </w:rPr>
        <w:t>Staying Power: A History of Black People in Britain</w:t>
      </w:r>
      <w:r w:rsidRPr="003E30EB">
        <w:t>. London: Pluto Press, [1984] 2018.</w:t>
      </w:r>
    </w:p>
    <w:p w14:paraId="3ADBD3EE" w14:textId="77777777" w:rsidR="00856C6D" w:rsidRDefault="00856C6D" w:rsidP="003E30EB">
      <w:pPr>
        <w:spacing w:line="240" w:lineRule="auto"/>
        <w:jc w:val="both"/>
      </w:pPr>
    </w:p>
    <w:p w14:paraId="1B88137A" w14:textId="58301722" w:rsidR="00856C6D" w:rsidRDefault="00856C6D" w:rsidP="003E30EB">
      <w:pPr>
        <w:spacing w:line="240" w:lineRule="auto"/>
        <w:jc w:val="both"/>
      </w:pPr>
      <w:r>
        <w:t xml:space="preserve">Fuentes, Marisa. </w:t>
      </w:r>
      <w:r>
        <w:rPr>
          <w:i/>
          <w:iCs/>
        </w:rPr>
        <w:t xml:space="preserve">Dispossessed Lives: Enslaved Women, </w:t>
      </w:r>
      <w:proofErr w:type="gramStart"/>
      <w:r>
        <w:rPr>
          <w:i/>
          <w:iCs/>
        </w:rPr>
        <w:t>Violence</w:t>
      </w:r>
      <w:proofErr w:type="gramEnd"/>
      <w:r>
        <w:rPr>
          <w:i/>
          <w:iCs/>
        </w:rPr>
        <w:t xml:space="preserve"> and the Archive in the Urban British Caribbean</w:t>
      </w:r>
      <w:r>
        <w:rPr>
          <w:i/>
          <w:iCs/>
        </w:rPr>
        <w:t>.</w:t>
      </w:r>
      <w:r>
        <w:t xml:space="preserve"> University of Pennsylvania Press, 2016</w:t>
      </w:r>
      <w:r>
        <w:t>.</w:t>
      </w:r>
    </w:p>
    <w:p w14:paraId="04AC26AC" w14:textId="77777777" w:rsidR="00856C6D" w:rsidRDefault="00856C6D" w:rsidP="003E30EB">
      <w:pPr>
        <w:spacing w:line="240" w:lineRule="auto"/>
        <w:jc w:val="both"/>
      </w:pPr>
    </w:p>
    <w:p w14:paraId="4ABB6127" w14:textId="4B8B8A3E" w:rsidR="00856C6D" w:rsidRDefault="00856C6D" w:rsidP="003E30EB">
      <w:pPr>
        <w:spacing w:line="240" w:lineRule="auto"/>
        <w:jc w:val="both"/>
      </w:pPr>
      <w:r>
        <w:t>----------</w:t>
      </w:r>
      <w:r>
        <w:t xml:space="preserve"> and Connolly, Brian. (eds.). ‘Slavery and the Archive’, Special Edition of </w:t>
      </w:r>
      <w:r>
        <w:rPr>
          <w:rStyle w:val="Emphasis"/>
        </w:rPr>
        <w:t>History of the Present: A Journal of Critical History</w:t>
      </w:r>
      <w:r>
        <w:t>, Vol 6, Issue 2, (2016).</w:t>
      </w:r>
    </w:p>
    <w:p w14:paraId="5DD07F9D" w14:textId="77777777" w:rsidR="003E30EB" w:rsidRPr="003E30EB" w:rsidRDefault="003E30EB" w:rsidP="003E30EB">
      <w:pPr>
        <w:spacing w:line="240" w:lineRule="auto"/>
        <w:jc w:val="both"/>
      </w:pPr>
    </w:p>
    <w:p w14:paraId="11D42409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t>Gerzina</w:t>
      </w:r>
      <w:proofErr w:type="spellEnd"/>
      <w:r w:rsidRPr="003E30EB">
        <w:t xml:space="preserve">, Gretchen. </w:t>
      </w:r>
      <w:r w:rsidRPr="003E30EB">
        <w:rPr>
          <w:i/>
          <w:iCs/>
        </w:rPr>
        <w:t>Black England: A Forgotten Georgian History</w:t>
      </w:r>
      <w:r w:rsidRPr="003E30EB">
        <w:t>. Revised and Updated Edition. London: John Murray, 2022.</w:t>
      </w:r>
    </w:p>
    <w:p w14:paraId="36412CDB" w14:textId="77777777" w:rsidR="003E30EB" w:rsidRPr="003E30EB" w:rsidRDefault="003E30EB" w:rsidP="003E30EB">
      <w:pPr>
        <w:spacing w:line="240" w:lineRule="auto"/>
        <w:jc w:val="both"/>
      </w:pPr>
    </w:p>
    <w:p w14:paraId="12772073" w14:textId="314DFA00" w:rsidR="003E30EB" w:rsidRDefault="003E30EB" w:rsidP="003E30EB">
      <w:pPr>
        <w:spacing w:line="240" w:lineRule="auto"/>
        <w:jc w:val="both"/>
      </w:pPr>
      <w:proofErr w:type="spellStart"/>
      <w:r w:rsidRPr="003E30EB">
        <w:t>Gundara</w:t>
      </w:r>
      <w:proofErr w:type="spellEnd"/>
      <w:r w:rsidRPr="003E30EB">
        <w:t>, Jagdish S., and Duffield, Ian (eds)</w:t>
      </w:r>
      <w:r>
        <w:t>.</w:t>
      </w:r>
      <w:r w:rsidRPr="003E30EB">
        <w:rPr>
          <w:i/>
        </w:rPr>
        <w:t xml:space="preserve"> Essays on the History of Blacks in Britain: From Roman Times to the Mid-Twentieth Century</w:t>
      </w:r>
      <w:r w:rsidRPr="003E30EB">
        <w:t>. Aldershot: Avebury, 1992.</w:t>
      </w:r>
    </w:p>
    <w:p w14:paraId="4CEAC3A8" w14:textId="77777777" w:rsidR="003E30EB" w:rsidRPr="003E30EB" w:rsidRDefault="003E30EB" w:rsidP="003E30EB">
      <w:pPr>
        <w:spacing w:line="240" w:lineRule="auto"/>
        <w:jc w:val="both"/>
      </w:pPr>
    </w:p>
    <w:p w14:paraId="7F249193" w14:textId="77777777" w:rsidR="003E30EB" w:rsidRDefault="003E30EB" w:rsidP="003E30EB">
      <w:pPr>
        <w:spacing w:line="240" w:lineRule="auto"/>
        <w:jc w:val="both"/>
      </w:pPr>
      <w:r w:rsidRPr="003E30EB">
        <w:t xml:space="preserve">Habib, Imtiaz. </w:t>
      </w:r>
      <w:r w:rsidRPr="003E30EB">
        <w:rPr>
          <w:i/>
          <w:iCs/>
        </w:rPr>
        <w:t>Shakespeare and Race: Postcolonial Praxis in the Early Modern Period</w:t>
      </w:r>
      <w:r w:rsidRPr="003E30EB">
        <w:t>. Lanham, MD: University of America Press, 2000.</w:t>
      </w:r>
    </w:p>
    <w:p w14:paraId="51BEF394" w14:textId="77777777" w:rsidR="003E30EB" w:rsidRPr="003E30EB" w:rsidRDefault="003E30EB" w:rsidP="003E30EB">
      <w:pPr>
        <w:spacing w:line="240" w:lineRule="auto"/>
        <w:jc w:val="both"/>
      </w:pPr>
    </w:p>
    <w:p w14:paraId="38F19E47" w14:textId="77777777" w:rsidR="003E30EB" w:rsidRDefault="003E30EB" w:rsidP="003E30EB">
      <w:pPr>
        <w:spacing w:line="240" w:lineRule="auto"/>
        <w:jc w:val="both"/>
      </w:pPr>
      <w:r w:rsidRPr="003E30EB">
        <w:t xml:space="preserve">Habib, Imtiaz. “Indians in Shakespeare's England as "the </w:t>
      </w:r>
      <w:proofErr w:type="gramStart"/>
      <w:r w:rsidRPr="003E30EB">
        <w:t>First-Fruits</w:t>
      </w:r>
      <w:proofErr w:type="gramEnd"/>
      <w:r w:rsidRPr="003E30EB">
        <w:t xml:space="preserve"> of India": Colonial Effacement and Postcolonial </w:t>
      </w:r>
      <w:proofErr w:type="spellStart"/>
      <w:r w:rsidRPr="003E30EB">
        <w:t>Reinscription</w:t>
      </w:r>
      <w:proofErr w:type="spellEnd"/>
      <w:r w:rsidRPr="003E30EB">
        <w:t xml:space="preserve">.” </w:t>
      </w:r>
      <w:r w:rsidRPr="003E30EB">
        <w:rPr>
          <w:i/>
        </w:rPr>
        <w:t>Journal of Narrative Theory</w:t>
      </w:r>
      <w:r w:rsidRPr="003E30EB">
        <w:t xml:space="preserve"> 36, no. 1 (2006): 1-19.</w:t>
      </w:r>
    </w:p>
    <w:p w14:paraId="1EF0A558" w14:textId="77777777" w:rsidR="003E30EB" w:rsidRPr="003E30EB" w:rsidRDefault="003E30EB" w:rsidP="003E30EB">
      <w:pPr>
        <w:spacing w:line="240" w:lineRule="auto"/>
        <w:jc w:val="both"/>
      </w:pPr>
    </w:p>
    <w:p w14:paraId="2851D699" w14:textId="77777777" w:rsidR="003E30EB" w:rsidRDefault="003E30EB" w:rsidP="003E30EB">
      <w:pPr>
        <w:spacing w:line="240" w:lineRule="auto"/>
        <w:jc w:val="both"/>
      </w:pPr>
      <w:r w:rsidRPr="003E30EB">
        <w:t xml:space="preserve">Habib, Imtiaz. </w:t>
      </w:r>
      <w:r w:rsidRPr="003E30EB">
        <w:rPr>
          <w:i/>
          <w:iCs/>
        </w:rPr>
        <w:t>Black Lives in the English Archives, 1500-1677: Imprints of the Invisible</w:t>
      </w:r>
      <w:r w:rsidRPr="003E30EB">
        <w:t>. London: Routledge, [2008] 2020.</w:t>
      </w:r>
    </w:p>
    <w:p w14:paraId="5F77B75B" w14:textId="77777777" w:rsidR="003E30EB" w:rsidRPr="003E30EB" w:rsidRDefault="003E30EB" w:rsidP="003E30EB">
      <w:pPr>
        <w:spacing w:line="240" w:lineRule="auto"/>
        <w:jc w:val="both"/>
      </w:pPr>
    </w:p>
    <w:p w14:paraId="66A26606" w14:textId="77777777" w:rsidR="003E30EB" w:rsidRPr="003E30EB" w:rsidRDefault="003E30EB" w:rsidP="003E30EB">
      <w:pPr>
        <w:spacing w:line="240" w:lineRule="auto"/>
        <w:jc w:val="both"/>
      </w:pPr>
      <w:r w:rsidRPr="003E30EB">
        <w:t xml:space="preserve">Habib, Imtiaz, and </w:t>
      </w:r>
      <w:proofErr w:type="spellStart"/>
      <w:r w:rsidRPr="003E30EB">
        <w:t>Salkeld</w:t>
      </w:r>
      <w:proofErr w:type="spellEnd"/>
      <w:r w:rsidRPr="003E30EB">
        <w:t xml:space="preserve">, Duncan. “The </w:t>
      </w:r>
      <w:proofErr w:type="spellStart"/>
      <w:r w:rsidRPr="003E30EB">
        <w:t>Resonables</w:t>
      </w:r>
      <w:proofErr w:type="spellEnd"/>
      <w:r w:rsidRPr="003E30EB">
        <w:t xml:space="preserve"> of </w:t>
      </w:r>
      <w:proofErr w:type="spellStart"/>
      <w:r w:rsidRPr="003E30EB">
        <w:t>Boroughside</w:t>
      </w:r>
      <w:proofErr w:type="spellEnd"/>
      <w:r w:rsidRPr="003E30EB">
        <w:t xml:space="preserve">, Southwark: An Elizabethan Black Family near the Rose Theatre.” </w:t>
      </w:r>
      <w:r w:rsidRPr="003E30EB">
        <w:rPr>
          <w:i/>
        </w:rPr>
        <w:t>Shakespeare</w:t>
      </w:r>
      <w:r w:rsidRPr="003E30EB">
        <w:t xml:space="preserve"> 11, no. 2 (2015): 135-156.</w:t>
      </w:r>
    </w:p>
    <w:p w14:paraId="1AF24DC1" w14:textId="77777777" w:rsidR="00856C6D" w:rsidRDefault="00856C6D" w:rsidP="003E30EB">
      <w:pPr>
        <w:spacing w:line="240" w:lineRule="auto"/>
        <w:jc w:val="both"/>
      </w:pPr>
    </w:p>
    <w:p w14:paraId="7F30E817" w14:textId="4FC02FB0" w:rsidR="003E30EB" w:rsidRDefault="003E30EB" w:rsidP="003E30EB">
      <w:pPr>
        <w:spacing w:line="240" w:lineRule="auto"/>
        <w:jc w:val="both"/>
      </w:pPr>
      <w:r w:rsidRPr="003E30EB">
        <w:t xml:space="preserve">Hall, Kim F. </w:t>
      </w:r>
      <w:r w:rsidRPr="00D37D39">
        <w:rPr>
          <w:i/>
          <w:iCs/>
        </w:rPr>
        <w:t>Things of Darkness: Economies of Race and Gender in Early Modern England</w:t>
      </w:r>
      <w:r w:rsidRPr="003E30EB">
        <w:t>. Ithaca, NY: Cornell University Press, 1996.</w:t>
      </w:r>
    </w:p>
    <w:p w14:paraId="06B891EB" w14:textId="77777777" w:rsidR="00856C6D" w:rsidRDefault="00856C6D" w:rsidP="003E30EB">
      <w:pPr>
        <w:spacing w:line="240" w:lineRule="auto"/>
        <w:jc w:val="both"/>
      </w:pPr>
    </w:p>
    <w:p w14:paraId="51734F90" w14:textId="46039370" w:rsidR="00856C6D" w:rsidRDefault="00CC581A" w:rsidP="003E30EB">
      <w:pPr>
        <w:spacing w:line="240" w:lineRule="auto"/>
        <w:jc w:val="both"/>
      </w:pPr>
      <w:r>
        <w:t xml:space="preserve">Hartman, </w:t>
      </w:r>
      <w:proofErr w:type="spellStart"/>
      <w:r>
        <w:t>Sa</w:t>
      </w:r>
      <w:r>
        <w:t>i</w:t>
      </w:r>
      <w:r>
        <w:t>diya</w:t>
      </w:r>
      <w:proofErr w:type="spellEnd"/>
      <w:r>
        <w:t xml:space="preserve">, </w:t>
      </w:r>
      <w:r>
        <w:rPr>
          <w:rStyle w:val="Emphasis"/>
        </w:rPr>
        <w:t>Wayward Lives, Beautiful</w:t>
      </w:r>
      <w:r>
        <w:t xml:space="preserve"> </w:t>
      </w:r>
      <w:r>
        <w:rPr>
          <w:rStyle w:val="Emphasis"/>
        </w:rPr>
        <w:t>Creatures: Intimate Histories of Social Upheaval</w:t>
      </w:r>
      <w:r>
        <w:t>.</w:t>
      </w:r>
      <w:r>
        <w:t xml:space="preserve"> London: Serpent’s Tail, 2019</w:t>
      </w:r>
      <w:r>
        <w:t>.</w:t>
      </w:r>
    </w:p>
    <w:p w14:paraId="239CB959" w14:textId="77777777" w:rsidR="00CC581A" w:rsidRDefault="00CC581A" w:rsidP="003E30EB">
      <w:pPr>
        <w:spacing w:line="240" w:lineRule="auto"/>
        <w:jc w:val="both"/>
      </w:pPr>
    </w:p>
    <w:p w14:paraId="04796747" w14:textId="74698BA5" w:rsidR="00CC581A" w:rsidRDefault="00CC581A" w:rsidP="003E30EB">
      <w:pPr>
        <w:spacing w:line="240" w:lineRule="auto"/>
        <w:jc w:val="both"/>
      </w:pPr>
      <w:r>
        <w:t>----------, ‘</w:t>
      </w:r>
      <w:r>
        <w:t>Venus in Two Acts</w:t>
      </w:r>
      <w:r>
        <w:t>’.</w:t>
      </w:r>
      <w:r>
        <w:t xml:space="preserve"> </w:t>
      </w:r>
      <w:r>
        <w:rPr>
          <w:rStyle w:val="Emphasis"/>
        </w:rPr>
        <w:t>Small Axe</w:t>
      </w:r>
      <w:r>
        <w:rPr>
          <w:rStyle w:val="Emphasis"/>
        </w:rPr>
        <w:t>,</w:t>
      </w:r>
      <w:r>
        <w:t xml:space="preserve"> 12, no. 2 (2008)</w:t>
      </w:r>
      <w:r>
        <w:t xml:space="preserve">. </w:t>
      </w:r>
      <w:r>
        <w:t xml:space="preserve">  </w:t>
      </w:r>
    </w:p>
    <w:p w14:paraId="4644B4CA" w14:textId="77777777" w:rsidR="003E30EB" w:rsidRPr="003E30EB" w:rsidRDefault="003E30EB" w:rsidP="003E30EB">
      <w:pPr>
        <w:spacing w:line="240" w:lineRule="auto"/>
        <w:jc w:val="both"/>
      </w:pPr>
    </w:p>
    <w:p w14:paraId="1244BA7C" w14:textId="31F86072" w:rsidR="003E30EB" w:rsidRDefault="003E30EB" w:rsidP="003E30EB">
      <w:pPr>
        <w:spacing w:line="240" w:lineRule="auto"/>
        <w:jc w:val="both"/>
      </w:pPr>
      <w:r w:rsidRPr="003E30EB">
        <w:t xml:space="preserve">Heng, Geraldine. </w:t>
      </w:r>
      <w:r w:rsidRPr="00D37D39">
        <w:rPr>
          <w:i/>
          <w:iCs/>
        </w:rPr>
        <w:t>The Invention of Race in the European Middle Ages</w:t>
      </w:r>
      <w:r w:rsidR="00D37D39">
        <w:rPr>
          <w:i/>
          <w:iCs/>
        </w:rPr>
        <w:t>.</w:t>
      </w:r>
      <w:r w:rsidRPr="003E30EB">
        <w:t xml:space="preserve"> Cambridge: Cambridge University Press, 2018</w:t>
      </w:r>
      <w:r>
        <w:t>.</w:t>
      </w:r>
    </w:p>
    <w:p w14:paraId="3DF886C7" w14:textId="77777777" w:rsidR="003E30EB" w:rsidRPr="003E30EB" w:rsidRDefault="003E30EB" w:rsidP="003E30EB">
      <w:pPr>
        <w:spacing w:line="240" w:lineRule="auto"/>
        <w:jc w:val="both"/>
      </w:pPr>
    </w:p>
    <w:p w14:paraId="71B2F1E6" w14:textId="328F888D" w:rsidR="003E30EB" w:rsidRDefault="003E30EB" w:rsidP="003E30EB">
      <w:pPr>
        <w:spacing w:line="240" w:lineRule="auto"/>
        <w:jc w:val="both"/>
      </w:pPr>
      <w:r w:rsidRPr="003E30EB">
        <w:t>Hendricks, Margo. “Feminist Historiography.”</w:t>
      </w:r>
      <w:r w:rsidR="00D37D39">
        <w:t xml:space="preserve"> </w:t>
      </w:r>
      <w:r w:rsidR="00D37D39" w:rsidRPr="003E30EB">
        <w:t>Anita Pacheco</w:t>
      </w:r>
      <w:r w:rsidR="00D37D39">
        <w:t xml:space="preserve"> (ed.).</w:t>
      </w:r>
      <w:r w:rsidRPr="003E30EB">
        <w:t xml:space="preserve"> </w:t>
      </w:r>
      <w:r w:rsidRPr="003E30EB">
        <w:rPr>
          <w:i/>
        </w:rPr>
        <w:t>A Companion to Early Modern Women’s Writing</w:t>
      </w:r>
      <w:r w:rsidRPr="003E30EB">
        <w:t>, 361-376. Oxford: Blackwell, 2002.</w:t>
      </w:r>
    </w:p>
    <w:p w14:paraId="6901E05D" w14:textId="77777777" w:rsidR="003E30EB" w:rsidRPr="003E30EB" w:rsidRDefault="003E30EB" w:rsidP="003E30EB">
      <w:pPr>
        <w:spacing w:line="240" w:lineRule="auto"/>
        <w:jc w:val="both"/>
      </w:pPr>
    </w:p>
    <w:p w14:paraId="78F6F000" w14:textId="20B83189" w:rsidR="003E30EB" w:rsidRDefault="003E30EB" w:rsidP="003E30EB">
      <w:pPr>
        <w:spacing w:line="240" w:lineRule="auto"/>
        <w:jc w:val="both"/>
      </w:pPr>
      <w:r w:rsidRPr="003E30EB">
        <w:t xml:space="preserve">Iyengar, Sujata. </w:t>
      </w:r>
      <w:r w:rsidRPr="00D37D39">
        <w:rPr>
          <w:i/>
          <w:iCs/>
        </w:rPr>
        <w:t xml:space="preserve">Shades of Difference: Mythologies of Skin </w:t>
      </w:r>
      <w:proofErr w:type="spellStart"/>
      <w:r w:rsidRPr="00D37D39">
        <w:rPr>
          <w:i/>
          <w:iCs/>
        </w:rPr>
        <w:t>Color</w:t>
      </w:r>
      <w:proofErr w:type="spellEnd"/>
      <w:r w:rsidRPr="00D37D39">
        <w:rPr>
          <w:i/>
          <w:iCs/>
        </w:rPr>
        <w:t xml:space="preserve"> in Early Modern England</w:t>
      </w:r>
      <w:r w:rsidRPr="003E30EB">
        <w:t xml:space="preserve"> Philadelphia: University of Pennsylvania Press, 2005</w:t>
      </w:r>
      <w:r>
        <w:t>.</w:t>
      </w:r>
    </w:p>
    <w:p w14:paraId="710EA410" w14:textId="77777777" w:rsidR="003E30EB" w:rsidRPr="003E30EB" w:rsidRDefault="003E30EB" w:rsidP="003E30EB">
      <w:pPr>
        <w:spacing w:line="240" w:lineRule="auto"/>
        <w:jc w:val="both"/>
      </w:pPr>
    </w:p>
    <w:p w14:paraId="34621C1F" w14:textId="77777777" w:rsidR="003E30EB" w:rsidRDefault="003E30EB" w:rsidP="003E30EB">
      <w:pPr>
        <w:spacing w:line="240" w:lineRule="auto"/>
        <w:jc w:val="both"/>
      </w:pPr>
      <w:r w:rsidRPr="003E30EB">
        <w:t xml:space="preserve">Kaufmann, Miranda. </w:t>
      </w:r>
      <w:r w:rsidRPr="00D37D39">
        <w:rPr>
          <w:i/>
          <w:iCs/>
        </w:rPr>
        <w:t>Black Tudors</w:t>
      </w:r>
      <w:r w:rsidRPr="003E30EB">
        <w:t>. London: One World, 2018.</w:t>
      </w:r>
    </w:p>
    <w:p w14:paraId="25FDB86A" w14:textId="77777777" w:rsidR="003E30EB" w:rsidRPr="003E30EB" w:rsidRDefault="003E30EB" w:rsidP="003E30EB">
      <w:pPr>
        <w:spacing w:line="240" w:lineRule="auto"/>
        <w:jc w:val="both"/>
      </w:pPr>
    </w:p>
    <w:p w14:paraId="32DDAF4C" w14:textId="77777777" w:rsidR="003E30EB" w:rsidRDefault="003E30EB" w:rsidP="003E30EB">
      <w:pPr>
        <w:spacing w:line="240" w:lineRule="auto"/>
        <w:jc w:val="both"/>
      </w:pPr>
      <w:r w:rsidRPr="003E30EB">
        <w:t xml:space="preserve">Lowe, K. J. P., and Earle T. F. (eds.). </w:t>
      </w:r>
      <w:r w:rsidRPr="003E30EB">
        <w:rPr>
          <w:i/>
        </w:rPr>
        <w:t>Black Africans in Renaissance Europe</w:t>
      </w:r>
      <w:r w:rsidRPr="003E30EB">
        <w:t>. Cambridge: Cambridge University Press, 2005.</w:t>
      </w:r>
    </w:p>
    <w:p w14:paraId="238322E6" w14:textId="77777777" w:rsidR="003E30EB" w:rsidRPr="003E30EB" w:rsidRDefault="003E30EB" w:rsidP="003E30EB">
      <w:pPr>
        <w:spacing w:line="240" w:lineRule="auto"/>
        <w:jc w:val="both"/>
      </w:pPr>
    </w:p>
    <w:p w14:paraId="7D9ACEDF" w14:textId="2AA8B8BC" w:rsidR="003E30EB" w:rsidRDefault="003E30EB" w:rsidP="003E30EB">
      <w:pPr>
        <w:spacing w:line="240" w:lineRule="auto"/>
        <w:jc w:val="both"/>
      </w:pPr>
      <w:r w:rsidRPr="003E30EB">
        <w:t xml:space="preserve">MacDonald, Joyce Green. 'Introduction', in </w:t>
      </w:r>
      <w:r w:rsidRPr="00D37D39">
        <w:rPr>
          <w:i/>
          <w:iCs/>
        </w:rPr>
        <w:t>Race, Ethnicity, and Power in the Renaissance</w:t>
      </w:r>
      <w:r w:rsidRPr="003E30EB">
        <w:t xml:space="preserve"> Cranbury, London, Ontario: Associated University Presses, 1997</w:t>
      </w:r>
      <w:r w:rsidR="004E3052">
        <w:t>.</w:t>
      </w:r>
      <w:r w:rsidRPr="003E30EB">
        <w:t xml:space="preserve"> ed. Joyce Green MacDonald, pp.7-19</w:t>
      </w:r>
      <w:r>
        <w:t>.</w:t>
      </w:r>
    </w:p>
    <w:p w14:paraId="0BA53574" w14:textId="77777777" w:rsidR="003E30EB" w:rsidRPr="003E30EB" w:rsidRDefault="003E30EB" w:rsidP="003E30EB">
      <w:pPr>
        <w:spacing w:line="240" w:lineRule="auto"/>
        <w:jc w:val="both"/>
      </w:pPr>
    </w:p>
    <w:p w14:paraId="36FF402A" w14:textId="77777777" w:rsidR="003E30EB" w:rsidRDefault="003E30EB" w:rsidP="003E30EB">
      <w:pPr>
        <w:spacing w:line="240" w:lineRule="auto"/>
        <w:jc w:val="both"/>
      </w:pPr>
      <w:r w:rsidRPr="003E30EB">
        <w:t xml:space="preserve">Maguire, Richard C. </w:t>
      </w:r>
      <w:r w:rsidRPr="003E30EB">
        <w:rPr>
          <w:i/>
        </w:rPr>
        <w:t>Africans in East Anglia, 1467-1833</w:t>
      </w:r>
      <w:r w:rsidRPr="003E30EB">
        <w:t>. Martlesham: Boydell &amp; Brewer, 2021.</w:t>
      </w:r>
    </w:p>
    <w:p w14:paraId="61A30F6D" w14:textId="77777777" w:rsidR="00D37D39" w:rsidRPr="003E30EB" w:rsidRDefault="00D37D39" w:rsidP="003E30EB">
      <w:pPr>
        <w:spacing w:line="240" w:lineRule="auto"/>
        <w:jc w:val="both"/>
      </w:pPr>
    </w:p>
    <w:p w14:paraId="794D6E89" w14:textId="54FFBB1A" w:rsidR="003E30EB" w:rsidRDefault="003E30EB" w:rsidP="003E30EB">
      <w:pPr>
        <w:spacing w:line="240" w:lineRule="auto"/>
        <w:jc w:val="both"/>
      </w:pPr>
      <w:r w:rsidRPr="003E30EB">
        <w:t xml:space="preserve">Mason Vaughan, Virginia. </w:t>
      </w:r>
      <w:r w:rsidRPr="00D37D39">
        <w:rPr>
          <w:i/>
          <w:iCs/>
        </w:rPr>
        <w:t>Performing Blackness on English Stages,1500-1800</w:t>
      </w:r>
      <w:r w:rsidR="00D37D39">
        <w:rPr>
          <w:i/>
          <w:iCs/>
        </w:rPr>
        <w:t>.</w:t>
      </w:r>
      <w:r w:rsidRPr="003E30EB">
        <w:t xml:space="preserve"> Cambridge: Cambridge University Press, 2005</w:t>
      </w:r>
      <w:r>
        <w:t>.</w:t>
      </w:r>
    </w:p>
    <w:p w14:paraId="6C319085" w14:textId="77777777" w:rsidR="003E30EB" w:rsidRPr="003E30EB" w:rsidRDefault="003E30EB" w:rsidP="003E30EB">
      <w:pPr>
        <w:spacing w:line="240" w:lineRule="auto"/>
        <w:jc w:val="both"/>
      </w:pPr>
    </w:p>
    <w:p w14:paraId="2A967176" w14:textId="77777777" w:rsidR="003E30EB" w:rsidRDefault="003E30EB" w:rsidP="003E30EB">
      <w:pPr>
        <w:spacing w:line="240" w:lineRule="auto"/>
        <w:jc w:val="both"/>
      </w:pPr>
      <w:r w:rsidRPr="003E30EB">
        <w:t xml:space="preserve">Morgan, Jennifer L. </w:t>
      </w:r>
      <w:r w:rsidRPr="00D37D39">
        <w:rPr>
          <w:i/>
          <w:iCs/>
        </w:rPr>
        <w:t>Reckoning with Slavery: Gender, Kinship, and Capitalism in the Early Black Atlantic</w:t>
      </w:r>
      <w:r w:rsidRPr="003E30EB">
        <w:t>. Durham, NC: Duke University Press, 2021.</w:t>
      </w:r>
    </w:p>
    <w:p w14:paraId="4EB47EF7" w14:textId="77777777" w:rsidR="003E30EB" w:rsidRPr="003E30EB" w:rsidRDefault="003E30EB" w:rsidP="003E30EB">
      <w:pPr>
        <w:spacing w:line="240" w:lineRule="auto"/>
        <w:jc w:val="both"/>
      </w:pPr>
    </w:p>
    <w:p w14:paraId="688B80B9" w14:textId="77777777" w:rsidR="003E30EB" w:rsidRDefault="003E30EB" w:rsidP="003E30EB">
      <w:pPr>
        <w:spacing w:line="240" w:lineRule="auto"/>
        <w:jc w:val="both"/>
      </w:pPr>
      <w:r w:rsidRPr="003E30EB">
        <w:t xml:space="preserve">Ndiaye, </w:t>
      </w:r>
      <w:proofErr w:type="spellStart"/>
      <w:r w:rsidRPr="003E30EB">
        <w:t>Noémie</w:t>
      </w:r>
      <w:proofErr w:type="spellEnd"/>
      <w:r w:rsidRPr="003E30EB">
        <w:t xml:space="preserve">. </w:t>
      </w:r>
      <w:r w:rsidRPr="00D37D39">
        <w:rPr>
          <w:i/>
          <w:iCs/>
        </w:rPr>
        <w:t>Scripts of Blackness: Early Modern Performance Culture and the Making of Race</w:t>
      </w:r>
      <w:r w:rsidRPr="003E30EB">
        <w:t>. Philadelphia, PA: University of Pennsylvania Press, 2022.</w:t>
      </w:r>
    </w:p>
    <w:p w14:paraId="744BECDE" w14:textId="77777777" w:rsidR="003E30EB" w:rsidRPr="003E30EB" w:rsidRDefault="003E30EB" w:rsidP="003E30EB">
      <w:pPr>
        <w:spacing w:line="240" w:lineRule="auto"/>
        <w:jc w:val="both"/>
      </w:pPr>
    </w:p>
    <w:p w14:paraId="4AD636A3" w14:textId="71B9C296" w:rsidR="003E30EB" w:rsidRDefault="003E30EB" w:rsidP="003E30EB">
      <w:pPr>
        <w:spacing w:line="240" w:lineRule="auto"/>
        <w:jc w:val="both"/>
      </w:pPr>
      <w:r w:rsidRPr="003E30EB">
        <w:t>Newman, Simon</w:t>
      </w:r>
      <w:r w:rsidR="00D37D39">
        <w:t>,</w:t>
      </w:r>
      <w:r w:rsidRPr="003E30EB">
        <w:t xml:space="preserve"> P. </w:t>
      </w:r>
      <w:r w:rsidRPr="00D37D39">
        <w:rPr>
          <w:i/>
          <w:iCs/>
        </w:rPr>
        <w:t>Freedom Seekers: Escaping from Slavery in Restoration London</w:t>
      </w:r>
      <w:r w:rsidRPr="003E30EB">
        <w:t>. London: University of London Press, 2022.</w:t>
      </w:r>
    </w:p>
    <w:p w14:paraId="4A203A9D" w14:textId="77777777" w:rsidR="003E30EB" w:rsidRPr="003E30EB" w:rsidRDefault="003E30EB" w:rsidP="003E30EB">
      <w:pPr>
        <w:spacing w:line="240" w:lineRule="auto"/>
        <w:jc w:val="both"/>
      </w:pPr>
    </w:p>
    <w:p w14:paraId="16FAE79B" w14:textId="77777777" w:rsidR="003E30EB" w:rsidRDefault="003E30EB" w:rsidP="003E30EB">
      <w:pPr>
        <w:spacing w:line="240" w:lineRule="auto"/>
        <w:jc w:val="both"/>
      </w:pPr>
      <w:r w:rsidRPr="003E30EB">
        <w:t xml:space="preserve">Nubia, </w:t>
      </w:r>
      <w:proofErr w:type="spellStart"/>
      <w:r w:rsidRPr="003E30EB">
        <w:t>Onyeka</w:t>
      </w:r>
      <w:proofErr w:type="spellEnd"/>
      <w:r w:rsidRPr="00D37D39">
        <w:rPr>
          <w:i/>
          <w:iCs/>
        </w:rPr>
        <w:t xml:space="preserve">. </w:t>
      </w:r>
      <w:proofErr w:type="spellStart"/>
      <w:r w:rsidRPr="00D37D39">
        <w:rPr>
          <w:i/>
          <w:iCs/>
        </w:rPr>
        <w:t>Blackamoores</w:t>
      </w:r>
      <w:proofErr w:type="spellEnd"/>
      <w:r w:rsidRPr="00D37D39">
        <w:rPr>
          <w:i/>
          <w:iCs/>
        </w:rPr>
        <w:t>: Africans in Tudor England, Their Presence, Status and Origins</w:t>
      </w:r>
      <w:r w:rsidRPr="003E30EB">
        <w:t>. London: Narrative Eye, 2014.</w:t>
      </w:r>
    </w:p>
    <w:p w14:paraId="23209D67" w14:textId="77777777" w:rsidR="003E30EB" w:rsidRPr="003E30EB" w:rsidRDefault="003E30EB" w:rsidP="003E30EB">
      <w:pPr>
        <w:spacing w:line="240" w:lineRule="auto"/>
        <w:jc w:val="both"/>
      </w:pPr>
    </w:p>
    <w:p w14:paraId="3293D75D" w14:textId="684B61A2" w:rsidR="003E30EB" w:rsidRDefault="003E30EB" w:rsidP="003E30EB">
      <w:pPr>
        <w:spacing w:line="240" w:lineRule="auto"/>
        <w:jc w:val="both"/>
      </w:pPr>
      <w:r w:rsidRPr="003E30EB">
        <w:t xml:space="preserve">Nubia, </w:t>
      </w:r>
      <w:proofErr w:type="spellStart"/>
      <w:r w:rsidRPr="003E30EB">
        <w:t>Onyeka</w:t>
      </w:r>
      <w:proofErr w:type="spellEnd"/>
      <w:r w:rsidRPr="003E30EB">
        <w:t xml:space="preserve">. </w:t>
      </w:r>
      <w:r w:rsidRPr="00D37D39">
        <w:rPr>
          <w:i/>
          <w:iCs/>
        </w:rPr>
        <w:t>England</w:t>
      </w:r>
      <w:r w:rsidRPr="00D37D39">
        <w:rPr>
          <w:rFonts w:ascii="Times New Roman" w:eastAsia="Times New Roman" w:hAnsi="Times New Roman" w:cs="Times New Roman"/>
          <w:i/>
          <w:iCs/>
        </w:rPr>
        <w:t>’</w:t>
      </w:r>
      <w:r w:rsidRPr="00D37D39">
        <w:rPr>
          <w:i/>
          <w:iCs/>
        </w:rPr>
        <w:t>s Other Countrymen:</w:t>
      </w:r>
      <w:r w:rsidR="00D37D39">
        <w:rPr>
          <w:i/>
          <w:iCs/>
        </w:rPr>
        <w:t xml:space="preserve"> </w:t>
      </w:r>
      <w:r w:rsidRPr="00D37D39">
        <w:rPr>
          <w:i/>
          <w:iCs/>
        </w:rPr>
        <w:t>Black Tudor Society</w:t>
      </w:r>
      <w:r w:rsidRPr="003E30EB">
        <w:t>. London: Zed Books, 2019.</w:t>
      </w:r>
    </w:p>
    <w:p w14:paraId="6CE96282" w14:textId="77777777" w:rsidR="003E30EB" w:rsidRPr="003E30EB" w:rsidRDefault="003E30EB" w:rsidP="003E30EB">
      <w:pPr>
        <w:spacing w:line="240" w:lineRule="auto"/>
        <w:jc w:val="both"/>
      </w:pPr>
    </w:p>
    <w:p w14:paraId="6CB9CB25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t>Otele</w:t>
      </w:r>
      <w:proofErr w:type="spellEnd"/>
      <w:r w:rsidRPr="003E30EB">
        <w:t xml:space="preserve">, Olivette. </w:t>
      </w:r>
      <w:r w:rsidRPr="00D37D39">
        <w:rPr>
          <w:i/>
          <w:iCs/>
        </w:rPr>
        <w:t>African Europeans: An Untold History</w:t>
      </w:r>
      <w:r w:rsidRPr="003E30EB">
        <w:t>. London: Hurst &amp; Company, 2020.</w:t>
      </w:r>
    </w:p>
    <w:p w14:paraId="34096E0F" w14:textId="77777777" w:rsidR="003E30EB" w:rsidRPr="003E30EB" w:rsidRDefault="003E30EB" w:rsidP="003E30EB">
      <w:pPr>
        <w:spacing w:line="240" w:lineRule="auto"/>
        <w:jc w:val="both"/>
      </w:pPr>
    </w:p>
    <w:p w14:paraId="2EB34BC5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lastRenderedPageBreak/>
        <w:t>Sanjurjo</w:t>
      </w:r>
      <w:proofErr w:type="spellEnd"/>
      <w:r w:rsidRPr="003E30EB">
        <w:t xml:space="preserve">, Jesús. “Centring Blackness in European History: A European History Quarterly Forum.” </w:t>
      </w:r>
      <w:r w:rsidRPr="003E30EB">
        <w:rPr>
          <w:i/>
        </w:rPr>
        <w:t>European History Quarterly</w:t>
      </w:r>
      <w:r w:rsidRPr="003E30EB">
        <w:t xml:space="preserve"> 53, no. 1 (2023): 5-44.</w:t>
      </w:r>
    </w:p>
    <w:p w14:paraId="116E757B" w14:textId="77777777" w:rsidR="003E30EB" w:rsidRPr="003E30EB" w:rsidRDefault="003E30EB" w:rsidP="003E30EB">
      <w:pPr>
        <w:spacing w:line="240" w:lineRule="auto"/>
        <w:jc w:val="both"/>
      </w:pPr>
    </w:p>
    <w:p w14:paraId="2F6E8BD3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t>Shyllon</w:t>
      </w:r>
      <w:proofErr w:type="spellEnd"/>
      <w:r w:rsidRPr="003E30EB">
        <w:t xml:space="preserve">, Folarin. </w:t>
      </w:r>
      <w:r w:rsidRPr="00D37D39">
        <w:rPr>
          <w:i/>
          <w:iCs/>
        </w:rPr>
        <w:t>Black People in Britain, 1555-1833</w:t>
      </w:r>
      <w:r w:rsidRPr="003E30EB">
        <w:t>. Oxford: Oxford University Press, 1977.</w:t>
      </w:r>
    </w:p>
    <w:p w14:paraId="1B301194" w14:textId="77777777" w:rsidR="003E30EB" w:rsidRPr="003E30EB" w:rsidRDefault="003E30EB" w:rsidP="003E30EB">
      <w:pPr>
        <w:spacing w:line="240" w:lineRule="auto"/>
        <w:jc w:val="both"/>
      </w:pPr>
    </w:p>
    <w:p w14:paraId="3EF6ED87" w14:textId="622CF316" w:rsidR="003E30EB" w:rsidRDefault="003E30EB" w:rsidP="003E30EB">
      <w:pPr>
        <w:spacing w:line="240" w:lineRule="auto"/>
        <w:jc w:val="both"/>
      </w:pPr>
      <w:r w:rsidRPr="003E30EB">
        <w:t>Singh, Jyotsna G. “</w:t>
      </w:r>
      <w:r w:rsidRPr="003E30EB">
        <w:rPr>
          <w:highlight w:val="white"/>
        </w:rPr>
        <w:t xml:space="preserve">Hakluyt’s Books and Hawkins’ Slaving Voyages: The Transatlantic Slave Trade in the English National Imaginary, 1560–1600.” </w:t>
      </w:r>
      <w:proofErr w:type="spellStart"/>
      <w:r w:rsidR="00D37D39" w:rsidRPr="003E30EB">
        <w:t>Jyostna</w:t>
      </w:r>
      <w:proofErr w:type="spellEnd"/>
      <w:r w:rsidR="00D37D39" w:rsidRPr="003E30EB">
        <w:t xml:space="preserve"> G. Singh</w:t>
      </w:r>
      <w:r w:rsidR="00D37D39">
        <w:t>. (ed.</w:t>
      </w:r>
      <w:proofErr w:type="gramStart"/>
      <w:r w:rsidR="00D37D39">
        <w:t>).</w:t>
      </w:r>
      <w:r w:rsidRPr="003E30EB">
        <w:rPr>
          <w:i/>
        </w:rPr>
        <w:t>A</w:t>
      </w:r>
      <w:proofErr w:type="gramEnd"/>
      <w:r w:rsidRPr="003E30EB">
        <w:rPr>
          <w:i/>
        </w:rPr>
        <w:t xml:space="preserve"> Companion to the Global Renaissance: Literature and Culture in the Era of Expansion, 1500-1700</w:t>
      </w:r>
      <w:r w:rsidRPr="003E30EB">
        <w:t>, Second Edition, 249-275. Hoboken, NJ: Wiley-Blackwell, 2021.</w:t>
      </w:r>
    </w:p>
    <w:p w14:paraId="2A46BD1E" w14:textId="77777777" w:rsidR="003E30EB" w:rsidRPr="003E30EB" w:rsidRDefault="003E30EB" w:rsidP="003E30EB">
      <w:pPr>
        <w:spacing w:line="240" w:lineRule="auto"/>
        <w:jc w:val="both"/>
      </w:pPr>
    </w:p>
    <w:p w14:paraId="22031FA6" w14:textId="76D1EDBB" w:rsidR="003E30EB" w:rsidRDefault="003E30EB" w:rsidP="003E30EB">
      <w:pPr>
        <w:spacing w:line="240" w:lineRule="auto"/>
        <w:jc w:val="both"/>
      </w:pPr>
      <w:r w:rsidRPr="003E30EB">
        <w:t xml:space="preserve">Smith, Ian. ‘Barbarian Errors: Performing Race in Early Modern England’, </w:t>
      </w:r>
      <w:r w:rsidRPr="00D37D39">
        <w:rPr>
          <w:i/>
          <w:iCs/>
        </w:rPr>
        <w:t>Shakespeare Quarterly</w:t>
      </w:r>
      <w:r w:rsidRPr="003E30EB">
        <w:t>, 2 (1998), pp.168-186</w:t>
      </w:r>
      <w:r>
        <w:t>.</w:t>
      </w:r>
    </w:p>
    <w:p w14:paraId="19679841" w14:textId="77777777" w:rsidR="00856C6D" w:rsidRPr="003E30EB" w:rsidRDefault="00856C6D" w:rsidP="003E30EB">
      <w:pPr>
        <w:spacing w:line="240" w:lineRule="auto"/>
        <w:jc w:val="both"/>
      </w:pPr>
    </w:p>
    <w:p w14:paraId="6CE1E158" w14:textId="4BC8FF95" w:rsidR="003E30EB" w:rsidRDefault="00856C6D" w:rsidP="003E30EB">
      <w:pPr>
        <w:spacing w:line="240" w:lineRule="auto"/>
        <w:jc w:val="both"/>
      </w:pPr>
      <w:r>
        <w:t xml:space="preserve">----------, </w:t>
      </w:r>
      <w:r w:rsidR="003E30EB" w:rsidRPr="003E30EB">
        <w:t xml:space="preserve">‘The Textile Black Body: Race and “shadowed” livery in The Merchant of Venice’, in </w:t>
      </w:r>
      <w:r w:rsidR="003E30EB" w:rsidRPr="00D37D39">
        <w:rPr>
          <w:i/>
          <w:iCs/>
        </w:rPr>
        <w:t>The Oxford Handbook of Shakespeare and Embodiment: Gender, Sexuality and Race</w:t>
      </w:r>
      <w:r w:rsidR="003E30EB" w:rsidRPr="003E30EB">
        <w:t xml:space="preserve"> (Oxford: Oxford University Press, 2016), pp.170 – 184</w:t>
      </w:r>
      <w:r w:rsidR="003E30EB">
        <w:t>.</w:t>
      </w:r>
    </w:p>
    <w:p w14:paraId="13D5261A" w14:textId="77777777" w:rsidR="003E30EB" w:rsidRPr="003E30EB" w:rsidRDefault="003E30EB" w:rsidP="003E30EB">
      <w:pPr>
        <w:spacing w:line="240" w:lineRule="auto"/>
        <w:jc w:val="both"/>
      </w:pPr>
    </w:p>
    <w:p w14:paraId="308ED618" w14:textId="6F02B910" w:rsidR="003E30EB" w:rsidRDefault="00856C6D" w:rsidP="003E30EB">
      <w:pPr>
        <w:spacing w:line="240" w:lineRule="auto"/>
        <w:jc w:val="both"/>
      </w:pPr>
      <w:r>
        <w:t>----------</w:t>
      </w:r>
      <w:r>
        <w:t xml:space="preserve">, </w:t>
      </w:r>
      <w:r w:rsidR="003E30EB" w:rsidRPr="003E30EB">
        <w:t xml:space="preserve">‘White Skin, </w:t>
      </w:r>
      <w:r w:rsidR="003E30EB" w:rsidRPr="00D37D39">
        <w:rPr>
          <w:i/>
          <w:iCs/>
        </w:rPr>
        <w:t>Black Masks: Racial Cross-Dressing on the Early Modern Stage’, Renaissance Drama</w:t>
      </w:r>
      <w:r w:rsidR="003E30EB" w:rsidRPr="003E30EB">
        <w:t xml:space="preserve"> (2003), pp.33-67</w:t>
      </w:r>
      <w:r w:rsidR="003E30EB">
        <w:t>.</w:t>
      </w:r>
    </w:p>
    <w:p w14:paraId="1638821D" w14:textId="77777777" w:rsidR="003E30EB" w:rsidRPr="003E30EB" w:rsidRDefault="003E30EB" w:rsidP="003E30EB">
      <w:pPr>
        <w:spacing w:line="240" w:lineRule="auto"/>
        <w:jc w:val="both"/>
      </w:pPr>
    </w:p>
    <w:p w14:paraId="72B82A90" w14:textId="7176822F" w:rsidR="003E30EB" w:rsidRDefault="003E30EB" w:rsidP="003E30EB">
      <w:pPr>
        <w:spacing w:line="240" w:lineRule="auto"/>
        <w:jc w:val="both"/>
      </w:pPr>
      <w:proofErr w:type="spellStart"/>
      <w:r w:rsidRPr="003E30EB">
        <w:t>Walvin</w:t>
      </w:r>
      <w:proofErr w:type="spellEnd"/>
      <w:r w:rsidRPr="003E30EB">
        <w:t>, James</w:t>
      </w:r>
      <w:r w:rsidRPr="00D37D39">
        <w:rPr>
          <w:i/>
          <w:iCs/>
        </w:rPr>
        <w:t>. Black and White: The Negro and English Society 1555-1945</w:t>
      </w:r>
      <w:r w:rsidRPr="003E30EB">
        <w:t>. London: Allen Lane</w:t>
      </w:r>
      <w:r w:rsidR="00D37D39">
        <w:t>.</w:t>
      </w:r>
      <w:r w:rsidRPr="003E30EB">
        <w:t xml:space="preserve"> The Penguin Press, 1973.</w:t>
      </w:r>
    </w:p>
    <w:p w14:paraId="20281539" w14:textId="77777777" w:rsidR="003E30EB" w:rsidRPr="003E30EB" w:rsidRDefault="003E30EB" w:rsidP="003E30EB">
      <w:pPr>
        <w:spacing w:line="240" w:lineRule="auto"/>
        <w:jc w:val="both"/>
      </w:pPr>
    </w:p>
    <w:p w14:paraId="1E45B9F8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t>Weissbourd</w:t>
      </w:r>
      <w:proofErr w:type="spellEnd"/>
      <w:r w:rsidRPr="003E30EB">
        <w:t xml:space="preserve">, Emily. ““Those in Their Possession”: Race, Slavery, and Queen Elizabeth's “Edicts of Expulsion”. </w:t>
      </w:r>
      <w:r w:rsidRPr="003E30EB">
        <w:rPr>
          <w:i/>
        </w:rPr>
        <w:t>Huntington Library Quarterly</w:t>
      </w:r>
      <w:r w:rsidRPr="003E30EB">
        <w:t xml:space="preserve"> 78, no. (2015): 1-19.</w:t>
      </w:r>
    </w:p>
    <w:p w14:paraId="1B23FDCF" w14:textId="77777777" w:rsidR="003E30EB" w:rsidRPr="003E30EB" w:rsidRDefault="003E30EB" w:rsidP="003E30EB">
      <w:pPr>
        <w:spacing w:line="240" w:lineRule="auto"/>
        <w:jc w:val="both"/>
      </w:pPr>
    </w:p>
    <w:p w14:paraId="73FC290C" w14:textId="77777777" w:rsidR="003E30EB" w:rsidRDefault="003E30EB" w:rsidP="003E30EB">
      <w:pPr>
        <w:spacing w:line="240" w:lineRule="auto"/>
        <w:jc w:val="both"/>
      </w:pPr>
      <w:proofErr w:type="spellStart"/>
      <w:r w:rsidRPr="003E30EB">
        <w:t>Weissbourd</w:t>
      </w:r>
      <w:proofErr w:type="spellEnd"/>
      <w:r w:rsidRPr="003E30EB">
        <w:t xml:space="preserve">, Emily. </w:t>
      </w:r>
      <w:r w:rsidRPr="003E30EB">
        <w:rPr>
          <w:i/>
        </w:rPr>
        <w:t>Bad Blood: Staging Race between Early Modern England and Spain</w:t>
      </w:r>
      <w:r w:rsidRPr="003E30EB">
        <w:t>. Philadelphia, PA: University of Pennsylvania Press, 2023.</w:t>
      </w:r>
    </w:p>
    <w:p w14:paraId="1D8E0290" w14:textId="77777777" w:rsidR="003E30EB" w:rsidRPr="003E30EB" w:rsidRDefault="003E30EB" w:rsidP="003E30EB">
      <w:pPr>
        <w:spacing w:line="240" w:lineRule="auto"/>
        <w:jc w:val="both"/>
      </w:pPr>
    </w:p>
    <w:p w14:paraId="2BBF95EA" w14:textId="7A782406" w:rsidR="003E30EB" w:rsidRPr="003E30EB" w:rsidRDefault="003E30EB" w:rsidP="003E30EB">
      <w:pPr>
        <w:spacing w:line="240" w:lineRule="auto"/>
        <w:jc w:val="both"/>
      </w:pPr>
      <w:r w:rsidRPr="003E30EB">
        <w:t xml:space="preserve">In 2015, Professor F. Hall, </w:t>
      </w:r>
      <w:r w:rsidR="00D37D39" w:rsidRPr="003E30EB">
        <w:t>Professor</w:t>
      </w:r>
      <w:r w:rsidRPr="003E30EB">
        <w:t xml:space="preserve"> Peter Erickson, and Hannah Ehrenberg created a bibliography of early modern race and premodern critical race studies. It is available here:</w:t>
      </w:r>
      <w:hyperlink r:id="rId4">
        <w:r w:rsidRPr="003E30EB">
          <w:t xml:space="preserve"> </w:t>
        </w:r>
      </w:hyperlink>
      <w:hyperlink r:id="rId5">
        <w:r w:rsidRPr="003E30EB">
          <w:rPr>
            <w:color w:val="0563C1"/>
            <w:u w:val="single"/>
          </w:rPr>
          <w:t>https://ambereendadabhoy.com/2022/06/13/shakerace-bibliography/</w:t>
        </w:r>
      </w:hyperlink>
      <w:r w:rsidRPr="003E30EB">
        <w:t>.</w:t>
      </w:r>
    </w:p>
    <w:p w14:paraId="6FE702DA" w14:textId="77777777" w:rsidR="003E30EB" w:rsidRPr="003E30EB" w:rsidRDefault="003E30EB" w:rsidP="003E30EB">
      <w:pPr>
        <w:spacing w:line="240" w:lineRule="auto"/>
      </w:pPr>
    </w:p>
    <w:p w14:paraId="671475B7" w14:textId="77777777" w:rsidR="003E5454" w:rsidRPr="003E30EB" w:rsidRDefault="003E5454" w:rsidP="003E30EB">
      <w:pPr>
        <w:spacing w:line="240" w:lineRule="auto"/>
      </w:pPr>
    </w:p>
    <w:sectPr w:rsidR="003E5454" w:rsidRPr="003E30E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0EB"/>
    <w:rsid w:val="00046759"/>
    <w:rsid w:val="003E30EB"/>
    <w:rsid w:val="003E5454"/>
    <w:rsid w:val="004E3052"/>
    <w:rsid w:val="00625482"/>
    <w:rsid w:val="00856C6D"/>
    <w:rsid w:val="008F1719"/>
    <w:rsid w:val="00C81793"/>
    <w:rsid w:val="00CC581A"/>
    <w:rsid w:val="00D37D39"/>
    <w:rsid w:val="00E5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0B016"/>
  <w15:chartTrackingRefBased/>
  <w15:docId w15:val="{CB002A2D-1D63-429A-83B8-300B88FE7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0EB"/>
    <w:pPr>
      <w:spacing w:after="0" w:line="276" w:lineRule="auto"/>
    </w:pPr>
    <w:rPr>
      <w:rFonts w:eastAsia="Arial"/>
      <w:kern w:val="0"/>
      <w:sz w:val="22"/>
      <w:szCs w:val="22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56C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mbereendadabhoy.com/2022/06/13/shakerace-bibliography/" TargetMode="External"/><Relationship Id="rId4" Type="http://schemas.openxmlformats.org/officeDocument/2006/relationships/hyperlink" Target="https://ambereendadabhoy.com/2022/06/13/shakerace-bibliograph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Sangha</dc:creator>
  <cp:keywords/>
  <dc:description/>
  <cp:lastModifiedBy>Laura Sangha</cp:lastModifiedBy>
  <cp:revision>6</cp:revision>
  <dcterms:created xsi:type="dcterms:W3CDTF">2023-06-21T11:11:00Z</dcterms:created>
  <dcterms:modified xsi:type="dcterms:W3CDTF">2023-06-21T12:17:00Z</dcterms:modified>
</cp:coreProperties>
</file>